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A7D6" w14:textId="77777777" w:rsidR="00535AEA" w:rsidRDefault="00B90A6A" w:rsidP="00C47E01">
      <w:pPr>
        <w:pStyle w:val="Title"/>
      </w:pPr>
      <w:bookmarkStart w:id="0" w:name="_GoBack"/>
      <w:bookmarkEnd w:id="0"/>
      <w:r>
        <w:t>PLN</w:t>
      </w:r>
      <w:r w:rsidR="00C47E01">
        <w:t xml:space="preserve"> Rubric</w:t>
      </w:r>
      <w:r>
        <w:t xml:space="preserve">: </w:t>
      </w:r>
      <w:r w:rsidR="00DA3511">
        <w:t>Course Development and Final Thoughts</w:t>
      </w:r>
      <w:r>
        <w:t xml:space="preserve"> </w:t>
      </w:r>
    </w:p>
    <w:p w14:paraId="6E6FA7D7" w14:textId="77777777" w:rsidR="00A93E16" w:rsidRPr="00A93E16" w:rsidRDefault="00F73AE9" w:rsidP="00A93E16">
      <w:r>
        <w:t xml:space="preserve">Participants’ should </w:t>
      </w:r>
      <w:r w:rsidR="00DA3511">
        <w:t>conclude</w:t>
      </w:r>
      <w:r w:rsidR="009340E3">
        <w:t xml:space="preserve"> </w:t>
      </w:r>
      <w:r w:rsidR="00DA3511">
        <w:t>their training</w:t>
      </w:r>
      <w:r w:rsidR="009340E3">
        <w:t xml:space="preserve"> </w:t>
      </w:r>
      <w:r w:rsidR="00DA3511">
        <w:t>by</w:t>
      </w:r>
      <w:r w:rsidR="009340E3">
        <w:t xml:space="preserve"> </w:t>
      </w:r>
      <w:r>
        <w:t>submit</w:t>
      </w:r>
      <w:r w:rsidR="00DA3511">
        <w:t>ting</w:t>
      </w:r>
      <w:r>
        <w:t xml:space="preserve"> written reflection </w:t>
      </w:r>
      <w:r w:rsidR="00737E9D">
        <w:t>on</w:t>
      </w:r>
      <w:r w:rsidR="00DA3511">
        <w:t xml:space="preserve"> their initial</w:t>
      </w:r>
      <w:r>
        <w:t xml:space="preserve"> </w:t>
      </w:r>
      <w:r w:rsidR="00F112A7">
        <w:t>goals</w:t>
      </w:r>
      <w:r w:rsidR="00DA3511">
        <w:t xml:space="preserve"> and the final course </w:t>
      </w:r>
      <w:r w:rsidR="00941F47">
        <w:t>in a</w:t>
      </w:r>
      <w:r w:rsidR="00F112A7">
        <w:t>t least three of the following categories</w:t>
      </w:r>
      <w:r>
        <w:t>. The following rubric can serve as quality guidelines for PLN submissions.</w:t>
      </w:r>
    </w:p>
    <w:tbl>
      <w:tblPr>
        <w:tblStyle w:val="LightGrid-Accent1"/>
        <w:tblpPr w:leftFromText="180" w:rightFromText="180" w:vertAnchor="page" w:horzAnchor="page" w:tblpX="1549" w:tblpY="3601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4526"/>
        <w:gridCol w:w="1372"/>
        <w:gridCol w:w="1392"/>
        <w:gridCol w:w="1530"/>
        <w:gridCol w:w="2448"/>
      </w:tblGrid>
      <w:tr w:rsidR="00FF67DF" w:rsidRPr="00A93E16" w14:paraId="6E6FA7DE" w14:textId="77777777" w:rsidTr="00A4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E6FA7D8" w14:textId="77777777" w:rsidR="00F73AE9" w:rsidRPr="00A93E16" w:rsidRDefault="00F73AE9" w:rsidP="003E149F">
            <w:pPr>
              <w:pStyle w:val="Heading1"/>
              <w:jc w:val="center"/>
              <w:outlineLvl w:val="0"/>
              <w:rPr>
                <w:rFonts w:cstheme="majorHAnsi"/>
                <w:b/>
                <w:lang w:eastAsia="en-US"/>
              </w:rPr>
            </w:pPr>
            <w:r w:rsidRPr="00A93E16">
              <w:rPr>
                <w:rFonts w:cstheme="majorHAnsi"/>
                <w:b/>
                <w:lang w:eastAsia="en-US"/>
              </w:rPr>
              <w:t xml:space="preserve">Criteria </w:t>
            </w:r>
          </w:p>
        </w:tc>
        <w:tc>
          <w:tcPr>
            <w:tcW w:w="4526" w:type="dxa"/>
          </w:tcPr>
          <w:p w14:paraId="6E6FA7D9" w14:textId="77777777" w:rsidR="00F73AE9" w:rsidRPr="00A93E16" w:rsidRDefault="00941F47" w:rsidP="003E149F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lang w:eastAsia="en-US"/>
              </w:rPr>
            </w:pPr>
            <w:r>
              <w:rPr>
                <w:rFonts w:cstheme="majorHAnsi"/>
                <w:b/>
                <w:lang w:eastAsia="en-US"/>
              </w:rPr>
              <w:t>Questions for Goal Setting</w:t>
            </w:r>
          </w:p>
        </w:tc>
        <w:tc>
          <w:tcPr>
            <w:tcW w:w="1372" w:type="dxa"/>
          </w:tcPr>
          <w:p w14:paraId="6E6FA7DA" w14:textId="77777777" w:rsidR="00F73AE9" w:rsidRPr="00A93E16" w:rsidRDefault="00FF67DF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Meets criteria</w:t>
            </w:r>
          </w:p>
        </w:tc>
        <w:tc>
          <w:tcPr>
            <w:tcW w:w="1392" w:type="dxa"/>
          </w:tcPr>
          <w:p w14:paraId="6E6FA7DB" w14:textId="77777777" w:rsidR="00F73AE9" w:rsidRPr="00A93E16" w:rsidRDefault="00FF67DF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Somewhat meets criteria</w:t>
            </w:r>
          </w:p>
        </w:tc>
        <w:tc>
          <w:tcPr>
            <w:tcW w:w="1530" w:type="dxa"/>
          </w:tcPr>
          <w:p w14:paraId="6E6FA7DC" w14:textId="77777777" w:rsidR="00F73AE9" w:rsidRPr="00A93E16" w:rsidRDefault="00FF67DF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Does not meet criteria</w:t>
            </w:r>
          </w:p>
        </w:tc>
        <w:tc>
          <w:tcPr>
            <w:tcW w:w="2448" w:type="dxa"/>
          </w:tcPr>
          <w:p w14:paraId="6E6FA7DD" w14:textId="77777777" w:rsidR="00F73AE9" w:rsidRPr="00A93E16" w:rsidRDefault="00F73AE9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FF67DF" w:rsidRPr="00A93E16" w14:paraId="6E6FA7E6" w14:textId="77777777" w:rsidTr="00A4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E6FA7DF" w14:textId="77777777" w:rsidR="00F73AE9" w:rsidRPr="00F112A7" w:rsidRDefault="00F73AE9" w:rsidP="00634862">
            <w:pPr>
              <w:rPr>
                <w:rFonts w:asciiTheme="minorHAnsi" w:eastAsia="Times New Roman" w:hAnsiTheme="minorHAnsi" w:cs="Times New Roman"/>
                <w:lang w:eastAsia="en-US"/>
              </w:rPr>
            </w:pPr>
            <w:r w:rsidRPr="00F112A7">
              <w:rPr>
                <w:rFonts w:asciiTheme="minorHAnsi" w:eastAsia="Times New Roman" w:hAnsiTheme="minorHAnsi" w:cs="Times New Roman"/>
                <w:lang w:eastAsia="en-US"/>
              </w:rPr>
              <w:t xml:space="preserve">1. </w:t>
            </w:r>
            <w:r w:rsidR="00634862">
              <w:rPr>
                <w:rFonts w:asciiTheme="minorHAnsi" w:eastAsia="Times New Roman" w:hAnsiTheme="minorHAnsi" w:cs="Times New Roman"/>
                <w:lang w:eastAsia="en-US"/>
              </w:rPr>
              <w:t>Teacher Knowledge and Understanding</w:t>
            </w:r>
          </w:p>
        </w:tc>
        <w:tc>
          <w:tcPr>
            <w:tcW w:w="4526" w:type="dxa"/>
          </w:tcPr>
          <w:p w14:paraId="6E6FA7E0" w14:textId="77777777" w:rsidR="00941F47" w:rsidRDefault="00634862" w:rsidP="00FF67D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The teacher knows and understands critical digital literacies and 21</w:t>
            </w:r>
            <w:r w:rsidRPr="00634862">
              <w:rPr>
                <w:rFonts w:eastAsia="Times New Roman" w:cs="Times New Roman"/>
                <w:vertAlign w:val="superscript"/>
                <w:lang w:eastAsia="en-US"/>
              </w:rPr>
              <w:t>st</w:t>
            </w:r>
            <w:r>
              <w:rPr>
                <w:rFonts w:eastAsia="Times New Roman" w:cs="Times New Roman"/>
                <w:lang w:eastAsia="en-US"/>
              </w:rPr>
              <w:t xml:space="preserve"> century skills.</w:t>
            </w:r>
          </w:p>
          <w:p w14:paraId="6E6FA7E1" w14:textId="77777777" w:rsidR="00634862" w:rsidRPr="00F112A7" w:rsidRDefault="00634862" w:rsidP="00FF67D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The teacher knows and understands appropriate use of technologies to enhance learning.</w:t>
            </w:r>
          </w:p>
        </w:tc>
        <w:tc>
          <w:tcPr>
            <w:tcW w:w="1372" w:type="dxa"/>
          </w:tcPr>
          <w:p w14:paraId="6E6FA7E2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6E6FA7E3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6E6FA7E4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6E6FA7E5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F67DF" w:rsidRPr="00A93E16" w14:paraId="6E6FA7EF" w14:textId="77777777" w:rsidTr="00A45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E6FA7E7" w14:textId="77777777" w:rsidR="00F73AE9" w:rsidRPr="00F112A7" w:rsidRDefault="00F73AE9" w:rsidP="00634862">
            <w:pPr>
              <w:rPr>
                <w:rFonts w:asciiTheme="minorHAnsi" w:eastAsia="Times New Roman" w:hAnsiTheme="minorHAnsi" w:cs="Times New Roman"/>
                <w:lang w:eastAsia="en-US"/>
              </w:rPr>
            </w:pPr>
            <w:r w:rsidRPr="00F112A7">
              <w:rPr>
                <w:rFonts w:asciiTheme="minorHAnsi" w:eastAsia="Times New Roman" w:hAnsiTheme="minorHAnsi" w:cs="Times New Roman"/>
                <w:lang w:eastAsia="en-US"/>
              </w:rPr>
              <w:t xml:space="preserve">2. </w:t>
            </w:r>
            <w:r w:rsidR="00634862">
              <w:rPr>
                <w:rFonts w:asciiTheme="minorHAnsi" w:eastAsia="Times New Roman" w:hAnsiTheme="minorHAnsi" w:cs="Times New Roman"/>
                <w:lang w:eastAsia="en-US"/>
              </w:rPr>
              <w:t>Blackboard Proficiency</w:t>
            </w:r>
          </w:p>
        </w:tc>
        <w:tc>
          <w:tcPr>
            <w:tcW w:w="4526" w:type="dxa"/>
          </w:tcPr>
          <w:p w14:paraId="6E6FA7E8" w14:textId="77777777" w:rsidR="00634862" w:rsidRDefault="00634862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teacher is able to modify and add content and assessment using the Blackboard Learning Management System.</w:t>
            </w:r>
          </w:p>
          <w:p w14:paraId="6E6FA7E9" w14:textId="77777777" w:rsidR="00634862" w:rsidRDefault="00634862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</w:p>
          <w:p w14:paraId="6E6FA7EA" w14:textId="77777777" w:rsidR="00F73AE9" w:rsidRPr="00F112A7" w:rsidRDefault="00634862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>The teacher is able to use and incorporate subject-specific and developmentally appropriate software in an online learning module.</w:t>
            </w:r>
            <w:r w:rsidR="00F73AE9" w:rsidRPr="00F112A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372" w:type="dxa"/>
          </w:tcPr>
          <w:p w14:paraId="6E6FA7EB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E6FA7EC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6FA7ED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E6FA7EE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67DF" w:rsidRPr="00A93E16" w14:paraId="6E6FA7F8" w14:textId="77777777" w:rsidTr="00A4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E6FA7F0" w14:textId="77777777" w:rsidR="00F73AE9" w:rsidRPr="00F112A7" w:rsidRDefault="00F73AE9" w:rsidP="00634862">
            <w:pPr>
              <w:rPr>
                <w:rFonts w:asciiTheme="minorHAnsi" w:eastAsia="Times New Roman" w:hAnsiTheme="minorHAnsi" w:cs="Times New Roman"/>
                <w:lang w:eastAsia="en-US"/>
              </w:rPr>
            </w:pPr>
            <w:r w:rsidRPr="00F112A7">
              <w:rPr>
                <w:rFonts w:asciiTheme="minorHAnsi" w:eastAsia="Times New Roman" w:hAnsiTheme="minorHAnsi" w:cs="Times New Roman"/>
                <w:lang w:eastAsia="en-US"/>
              </w:rPr>
              <w:t xml:space="preserve">3. </w:t>
            </w:r>
            <w:r w:rsidR="00634862">
              <w:rPr>
                <w:rFonts w:asciiTheme="minorHAnsi" w:eastAsia="Times New Roman" w:hAnsiTheme="minorHAnsi" w:cs="Times New Roman"/>
                <w:lang w:eastAsia="en-US"/>
              </w:rPr>
              <w:t>Engaging Content</w:t>
            </w:r>
            <w:r w:rsidRPr="00F112A7">
              <w:rPr>
                <w:rFonts w:asciiTheme="minorHAnsi" w:eastAsia="Times New Roman" w:hAnsiTheme="minorHAnsi" w:cs="Times New Roman"/>
                <w:lang w:eastAsia="en-US"/>
              </w:rPr>
              <w:t xml:space="preserve"> </w:t>
            </w:r>
          </w:p>
        </w:tc>
        <w:tc>
          <w:tcPr>
            <w:tcW w:w="4526" w:type="dxa"/>
          </w:tcPr>
          <w:p w14:paraId="6E6FA7F1" w14:textId="77777777" w:rsidR="00941F47" w:rsidRDefault="00634862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teacher is able to create and modify engaging content in an online environment.</w:t>
            </w:r>
          </w:p>
          <w:p w14:paraId="6E6FA7F2" w14:textId="77777777" w:rsidR="00634862" w:rsidRDefault="00634862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  <w:p w14:paraId="6E6FA7F3" w14:textId="77777777" w:rsidR="00634862" w:rsidRPr="00F112A7" w:rsidRDefault="00634862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>The teacher is able to incorporate multimedia and visual resources into an online module.</w:t>
            </w:r>
          </w:p>
        </w:tc>
        <w:tc>
          <w:tcPr>
            <w:tcW w:w="1372" w:type="dxa"/>
          </w:tcPr>
          <w:p w14:paraId="6E6FA7F4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E6FA7F5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6FA7F6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E6FA7F7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67DF" w:rsidRPr="00A93E16" w14:paraId="6E6FA7FF" w14:textId="77777777" w:rsidTr="00A45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E6FA7F9" w14:textId="77777777" w:rsidR="00F73AE9" w:rsidRPr="00F112A7" w:rsidRDefault="00F73AE9" w:rsidP="00634862">
            <w:pPr>
              <w:rPr>
                <w:rFonts w:asciiTheme="minorHAnsi" w:eastAsia="Times New Roman" w:hAnsiTheme="minorHAnsi" w:cs="Times New Roman"/>
                <w:lang w:eastAsia="en-US"/>
              </w:rPr>
            </w:pPr>
            <w:r w:rsidRPr="00F112A7">
              <w:rPr>
                <w:rFonts w:asciiTheme="minorHAnsi" w:eastAsia="Times New Roman" w:hAnsiTheme="minorHAnsi" w:cs="Times New Roman"/>
                <w:lang w:eastAsia="en-US"/>
              </w:rPr>
              <w:lastRenderedPageBreak/>
              <w:t xml:space="preserve">4. </w:t>
            </w:r>
            <w:r w:rsidR="00634862">
              <w:rPr>
                <w:rFonts w:asciiTheme="minorHAnsi" w:eastAsia="Times New Roman" w:hAnsiTheme="minorHAnsi" w:cs="Times New Roman"/>
                <w:lang w:eastAsia="en-US"/>
              </w:rPr>
              <w:t>Learning Objectives and Standards Alignment</w:t>
            </w:r>
            <w:r w:rsidRPr="00F112A7">
              <w:rPr>
                <w:rFonts w:asciiTheme="minorHAnsi" w:eastAsia="Times New Roman" w:hAnsiTheme="minorHAnsi" w:cs="Times New Roman"/>
                <w:lang w:eastAsia="en-US"/>
              </w:rPr>
              <w:t xml:space="preserve"> </w:t>
            </w:r>
          </w:p>
        </w:tc>
        <w:tc>
          <w:tcPr>
            <w:tcW w:w="4526" w:type="dxa"/>
          </w:tcPr>
          <w:p w14:paraId="6E6FA7FA" w14:textId="77777777" w:rsidR="009340E3" w:rsidRPr="00F112A7" w:rsidRDefault="00634862" w:rsidP="009340E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The teacher is able to review materials and Web resources for their alignment with course objectives and state and local standards and for their appropriateness on a continuing basis. </w:t>
            </w:r>
          </w:p>
        </w:tc>
        <w:tc>
          <w:tcPr>
            <w:tcW w:w="1372" w:type="dxa"/>
          </w:tcPr>
          <w:p w14:paraId="6E6FA7FB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6E6FA7FC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6E6FA7FD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6E6FA7FE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634862" w:rsidRPr="00A93E16" w14:paraId="6E6FA806" w14:textId="77777777" w:rsidTr="00A4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E6FA800" w14:textId="77777777" w:rsidR="00634862" w:rsidRPr="00634862" w:rsidRDefault="00634862" w:rsidP="00634862">
            <w:pPr>
              <w:rPr>
                <w:rFonts w:asciiTheme="minorHAnsi" w:eastAsia="Times New Roman" w:hAnsiTheme="minorHAnsi" w:cs="Times New Roman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lang w:eastAsia="en-US"/>
              </w:rPr>
              <w:t>5. Formative Assessment</w:t>
            </w:r>
          </w:p>
        </w:tc>
        <w:tc>
          <w:tcPr>
            <w:tcW w:w="4526" w:type="dxa"/>
          </w:tcPr>
          <w:p w14:paraId="6E6FA801" w14:textId="77777777" w:rsidR="00634862" w:rsidRDefault="00634862" w:rsidP="009340E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The teacher is able to create assignments, projects, and assessments that are aligned with students’ different visual, auditory, and hands-on ways of learning. </w:t>
            </w:r>
          </w:p>
        </w:tc>
        <w:tc>
          <w:tcPr>
            <w:tcW w:w="1372" w:type="dxa"/>
          </w:tcPr>
          <w:p w14:paraId="6E6FA802" w14:textId="77777777" w:rsidR="00634862" w:rsidRPr="00A93E16" w:rsidRDefault="00634862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6E6FA803" w14:textId="77777777" w:rsidR="00634862" w:rsidRPr="00A93E16" w:rsidRDefault="00634862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6E6FA804" w14:textId="77777777" w:rsidR="00634862" w:rsidRPr="00A93E16" w:rsidRDefault="00634862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6E6FA805" w14:textId="77777777" w:rsidR="00634862" w:rsidRPr="00A93E16" w:rsidRDefault="00634862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634862" w:rsidRPr="00A93E16" w14:paraId="6E6FA80D" w14:textId="77777777" w:rsidTr="00A45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E6FA807" w14:textId="77777777" w:rsidR="00634862" w:rsidRPr="00634862" w:rsidRDefault="00634862" w:rsidP="00634862">
            <w:pPr>
              <w:rPr>
                <w:rFonts w:asciiTheme="minorHAnsi" w:eastAsia="Times New Roman" w:hAnsiTheme="minorHAnsi" w:cs="Times New Roman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lang w:eastAsia="en-US"/>
              </w:rPr>
              <w:t>6. Instructional Design</w:t>
            </w:r>
          </w:p>
        </w:tc>
        <w:tc>
          <w:tcPr>
            <w:tcW w:w="4526" w:type="dxa"/>
          </w:tcPr>
          <w:p w14:paraId="6E6FA808" w14:textId="77777777" w:rsidR="00634862" w:rsidRDefault="00634862" w:rsidP="009340E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The teacher is able to arrange media and content to help transfer knowledge most effectively in the online environment.</w:t>
            </w:r>
          </w:p>
        </w:tc>
        <w:tc>
          <w:tcPr>
            <w:tcW w:w="1372" w:type="dxa"/>
          </w:tcPr>
          <w:p w14:paraId="6E6FA809" w14:textId="77777777" w:rsidR="00634862" w:rsidRPr="00A93E16" w:rsidRDefault="00634862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6E6FA80A" w14:textId="77777777" w:rsidR="00634862" w:rsidRPr="00A93E16" w:rsidRDefault="00634862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6E6FA80B" w14:textId="77777777" w:rsidR="00634862" w:rsidRPr="00A93E16" w:rsidRDefault="00634862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6E6FA80C" w14:textId="77777777" w:rsidR="00634862" w:rsidRPr="00A93E16" w:rsidRDefault="00634862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E6FA80E" w14:textId="77777777" w:rsidR="00C47E01" w:rsidRDefault="00C47E01" w:rsidP="00C47E01"/>
    <w:p w14:paraId="6E6FA80F" w14:textId="77777777" w:rsidR="009340E3" w:rsidRDefault="009340E3" w:rsidP="009340E3">
      <w:pPr>
        <w:rPr>
          <w:i/>
        </w:rPr>
      </w:pPr>
      <w:r>
        <w:rPr>
          <w:i/>
        </w:rPr>
        <w:t>References:</w:t>
      </w:r>
    </w:p>
    <w:p w14:paraId="6E6FA810" w14:textId="77777777" w:rsidR="00634862" w:rsidRDefault="00634862" w:rsidP="00634862">
      <w:pPr>
        <w:pStyle w:val="Bibliography"/>
        <w:ind w:left="720" w:hanging="720"/>
        <w:rPr>
          <w:noProof/>
        </w:rPr>
      </w:pPr>
      <w:r>
        <w:rPr>
          <w:noProof/>
        </w:rPr>
        <w:t xml:space="preserve">International Association for K-12 Online Learning. (2011, October). </w:t>
      </w:r>
      <w:r>
        <w:rPr>
          <w:i/>
          <w:iCs/>
          <w:noProof/>
        </w:rPr>
        <w:t>National Standards for Quality Online Teaching.</w:t>
      </w:r>
      <w:r>
        <w:rPr>
          <w:noProof/>
        </w:rPr>
        <w:t xml:space="preserve"> Retrieved May 7, 2012, from iNACOL: http://www.inacol.org</w:t>
      </w:r>
    </w:p>
    <w:p w14:paraId="6E6FA811" w14:textId="77777777" w:rsidR="009340E3" w:rsidRPr="00C47E01" w:rsidRDefault="009340E3" w:rsidP="00C94AD8"/>
    <w:sectPr w:rsidR="009340E3" w:rsidRPr="00C47E01" w:rsidSect="0002534F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01"/>
    <w:rsid w:val="0002534F"/>
    <w:rsid w:val="000412D7"/>
    <w:rsid w:val="00096E8C"/>
    <w:rsid w:val="0016420B"/>
    <w:rsid w:val="001804BC"/>
    <w:rsid w:val="001C058F"/>
    <w:rsid w:val="002A7622"/>
    <w:rsid w:val="0038238A"/>
    <w:rsid w:val="00383264"/>
    <w:rsid w:val="004904B6"/>
    <w:rsid w:val="00492DF7"/>
    <w:rsid w:val="00535AEA"/>
    <w:rsid w:val="00634862"/>
    <w:rsid w:val="006F5FF3"/>
    <w:rsid w:val="00737E9D"/>
    <w:rsid w:val="007A0DED"/>
    <w:rsid w:val="008D6518"/>
    <w:rsid w:val="009340E3"/>
    <w:rsid w:val="00941F47"/>
    <w:rsid w:val="00966A5D"/>
    <w:rsid w:val="009C30DD"/>
    <w:rsid w:val="00A34197"/>
    <w:rsid w:val="00A45C64"/>
    <w:rsid w:val="00A93E16"/>
    <w:rsid w:val="00B90A6A"/>
    <w:rsid w:val="00BA5F53"/>
    <w:rsid w:val="00C47E01"/>
    <w:rsid w:val="00C90855"/>
    <w:rsid w:val="00C94AD8"/>
    <w:rsid w:val="00D835DE"/>
    <w:rsid w:val="00DA3511"/>
    <w:rsid w:val="00F112A7"/>
    <w:rsid w:val="00F73AE9"/>
    <w:rsid w:val="00FF6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FA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7E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7E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02534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F6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9340E3"/>
  </w:style>
  <w:style w:type="paragraph" w:styleId="BalloonText">
    <w:name w:val="Balloon Text"/>
    <w:basedOn w:val="Normal"/>
    <w:link w:val="BalloonTextChar"/>
    <w:uiPriority w:val="99"/>
    <w:semiHidden/>
    <w:unhideWhenUsed/>
    <w:rsid w:val="000412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7E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7E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02534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F6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9340E3"/>
  </w:style>
  <w:style w:type="paragraph" w:styleId="BalloonText">
    <w:name w:val="Balloon Text"/>
    <w:basedOn w:val="Normal"/>
    <w:link w:val="BalloonTextChar"/>
    <w:uiPriority w:val="99"/>
    <w:semiHidden/>
    <w:unhideWhenUsed/>
    <w:rsid w:val="000412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60E62B9F08044B19982FA1B5A8EE2" ma:contentTypeVersion="1" ma:contentTypeDescription="Create a new document." ma:contentTypeScope="" ma:versionID="ee04146e0e4046767b0e7e54ffb579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Sou03</b:Tag>
    <b:SourceType>Report</b:SourceType>
    <b:Guid>{A58256A8-1DAA-4C06-AFFF-92EBD056276D}</b:Guid>
    <b:Title>Essential Principles of High-Quality Online Teaching</b:Title>
    <b:Year>April 2003</b:Year>
    <b:City>Atlanta</b:City>
    <b:Publisher>SREB</b:Publisher>
    <b:Author>
      <b:Author>
        <b:Corporate>Southern Regional Education Board</b:Corporate>
      </b:Author>
    </b:Author>
    <b:RefOrder>2</b:RefOrder>
  </b:Source>
  <b:Source>
    <b:Tag>Kel11</b:Tag>
    <b:SourceType>InternetSite</b:SourceType>
    <b:Guid>{B984AF5E-4ACC-4830-B5E3-FEBBAE6D4CFE}</b:Guid>
    <b:Title>BlendKit Course: BlendKit Reader: Chapt 1</b:Title>
    <b:Year>2011</b:Year>
    <b:BookTitle>Blended Learning Toolkit</b:BookTitle>
    <b:Author>
      <b:Author>
        <b:NameList>
          <b:Person>
            <b:Last>Kelvin Thompson</b:Last>
            <b:First>Ed.D.</b:First>
          </b:Person>
        </b:NameList>
      </b:Author>
      <b:BookAuthor>
        <b:NameList>
          <b:Person>
            <b:Last>Kelvin Thompson</b:Last>
            <b:First>Ed.D.</b:First>
          </b:Person>
        </b:NameList>
      </b:BookAuthor>
    </b:Author>
    <b:InternetSiteTitle>Blended Learning Toolkit</b:InternetSiteTitle>
    <b:YearAccessed>2012</b:YearAccessed>
    <b:MonthAccessed>May</b:MonthAccessed>
    <b:DayAccessed>7</b:DayAccessed>
    <b:URL>http://blended.online.ucf.edu/blendkit-course-blendkit-reader-chapter-1/</b:URL>
    <b:RefOrder>1</b:RefOrder>
  </b:Source>
</b:Sources>
</file>

<file path=customXml/itemProps1.xml><?xml version="1.0" encoding="utf-8"?>
<ds:datastoreItem xmlns:ds="http://schemas.openxmlformats.org/officeDocument/2006/customXml" ds:itemID="{A3BAA621-69A0-4504-93E3-DE84EA3A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67A90F-322B-4370-9CC6-D5697B17D6FA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C60F53-F99D-4751-9526-7BC7B25E2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B60A3-A867-4483-A7B5-10B53EA3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Kimble McCann</dc:creator>
  <cp:keywords/>
  <dc:description/>
  <cp:lastModifiedBy>Kamehameha Schools</cp:lastModifiedBy>
  <cp:revision>2</cp:revision>
  <dcterms:created xsi:type="dcterms:W3CDTF">2012-05-29T18:19:00Z</dcterms:created>
  <dcterms:modified xsi:type="dcterms:W3CDTF">2012-05-29T18:19:00Z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0x010100CCF60E62B9F08044B19982FA1B5A8EE2</vt:lpwstr>
  </property>
</Properties>
</file>